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color w:val="000000"/>
          <w:sz w:val="28"/>
        </w:rPr>
      </w:pPr>
      <w:r>
        <w:drawing>
          <wp:anchor allowOverlap="true" behindDoc="true" layoutInCell="true" locked="false" relativeHeight="251658240" simplePos="false">
            <wp:simplePos x="0" y="0"/>
            <wp:positionH relativeFrom="column">
              <wp:posOffset>106045</wp:posOffset>
            </wp:positionH>
            <wp:positionV relativeFrom="paragraph">
              <wp:posOffset>71755</wp:posOffset>
            </wp:positionV>
            <wp:extent cx="1404620" cy="1054735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404620" cy="105473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           Утверждено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                  Приказом БУ «МФЦ Москаленского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                                   района Омской области»</w:t>
      </w:r>
    </w:p>
    <w:p w14:paraId="05000000">
      <w:pPr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от 26 июня 2023 года № 30-од</w:t>
      </w:r>
      <w:r>
        <w:rPr>
          <w:b w:val="1"/>
          <w:sz w:val="28"/>
        </w:rPr>
        <w:t xml:space="preserve">                      </w:t>
      </w:r>
      <w:r>
        <w:rPr>
          <w:b w:val="1"/>
          <w:sz w:val="28"/>
        </w:rPr>
        <w:t xml:space="preserve">          </w:t>
      </w:r>
      <w:r>
        <w:rPr>
          <w:b w:val="1"/>
          <w:sz w:val="28"/>
        </w:rPr>
        <w:t xml:space="preserve">   </w:t>
      </w:r>
    </w:p>
    <w:p w14:paraId="06000000">
      <w:pPr>
        <w:tabs>
          <w:tab w:leader="none" w:pos="3120" w:val="left"/>
        </w:tabs>
        <w:ind/>
        <w:rPr>
          <w:b w:val="1"/>
          <w:sz w:val="28"/>
        </w:rPr>
      </w:pPr>
      <w:r>
        <w:rPr>
          <w:b w:val="1"/>
          <w:sz w:val="28"/>
        </w:rPr>
        <w:tab/>
      </w:r>
    </w:p>
    <w:p w14:paraId="07000000">
      <w:pPr>
        <w:tabs>
          <w:tab w:leader="none" w:pos="3120" w:val="left"/>
        </w:tabs>
        <w:ind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</w:t>
      </w:r>
      <w:r>
        <w:rPr>
          <w:b w:val="1"/>
          <w:sz w:val="28"/>
        </w:rPr>
        <w:t>опутствующи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платны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 услуг</w:t>
      </w:r>
      <w:r>
        <w:rPr>
          <w:b w:val="1"/>
          <w:sz w:val="28"/>
        </w:rPr>
        <w:t>и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БУ «МФЦ Москаленского района Омской области»</w:t>
      </w: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  <w:rPr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42"/>
        <w:gridCol w:w="2480"/>
        <w:gridCol w:w="4019"/>
        <w:gridCol w:w="2480"/>
      </w:tblGrid>
      <w:tr>
        <w:trPr>
          <w:trHeight w:hRule="atLeast" w:val="360"/>
        </w:trPr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r>
              <w:t>№ п/п</w:t>
            </w:r>
          </w:p>
        </w:tc>
        <w:tc>
          <w:tcPr>
            <w:tcW w:type="dxa" w:w="64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</w:pPr>
            <w:r>
              <w:t>Наименование услуги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r>
              <w:t>Стоимость услуги (руб.)</w:t>
            </w:r>
          </w:p>
        </w:tc>
      </w:tr>
      <w:tr>
        <w:trPr>
          <w:trHeight w:hRule="atLeast" w:val="360"/>
        </w:trPr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r>
              <w:t>1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r>
              <w:t>Услуги по заполнению бланков, деклараций, различных форм заявлений (за исключением тех, которые заполняются в рамках предоставления государственных и муниципальных услуг в МФЦ)</w:t>
            </w:r>
          </w:p>
        </w:tc>
        <w:tc>
          <w:tcPr>
            <w:tcW w:type="dxa" w:w="4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r>
              <w:t>заполнение бланка (заявления, уведомления) (1 страница)</w:t>
            </w:r>
          </w:p>
          <w:p w14:paraId="12000000"/>
          <w:p w14:paraId="13000000"/>
          <w:p w14:paraId="14000000">
            <w:r>
              <w:t>заполнение заявлений о выдаче вида жительства, о выдаче разрешения на временное проживание, на принятие гражданства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r>
              <w:t>100</w:t>
            </w:r>
          </w:p>
          <w:p w14:paraId="16000000"/>
          <w:p w14:paraId="17000000"/>
          <w:p w14:paraId="18000000"/>
          <w:p w14:paraId="19000000">
            <w:r>
              <w:t>800</w:t>
            </w:r>
          </w:p>
        </w:tc>
      </w:tr>
      <w:tr>
        <w:trPr>
          <w:trHeight w:hRule="atLeast" w:val="360"/>
        </w:trPr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r>
              <w:t>2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r>
              <w:t>Копировально-множительные услуги, распечатка документов (за исключением копирования документов, которые прилагаются к заявлениям на предоставление государственных и муниципальных услуг, подаваемых в МФЦ</w:t>
            </w:r>
          </w:p>
        </w:tc>
        <w:tc>
          <w:tcPr>
            <w:tcW w:type="dxa" w:w="4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r>
              <w:t>копировально-множительные услуги (1 страница)</w:t>
            </w:r>
          </w:p>
          <w:p w14:paraId="1D000000"/>
          <w:p w14:paraId="1E000000">
            <w:r>
              <w:t>распечатка документов с электронного носителя ( 1 страница)</w:t>
            </w:r>
          </w:p>
          <w:p w14:paraId="1F000000"/>
          <w:p w14:paraId="20000000">
            <w:r>
              <w:t>сканирование документов с сохранением на электронный носитель ( 1 страница)</w:t>
            </w:r>
          </w:p>
          <w:p w14:paraId="21000000"/>
          <w:p w14:paraId="22000000">
            <w:r>
              <w:t xml:space="preserve">цветная печать (формат А4) </w:t>
            </w:r>
          </w:p>
          <w:p w14:paraId="23000000">
            <w:r>
              <w:t>(1 страница)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r>
              <w:t>10</w:t>
            </w:r>
          </w:p>
          <w:p w14:paraId="25000000"/>
          <w:p w14:paraId="26000000"/>
          <w:p w14:paraId="27000000">
            <w:r>
              <w:t>20</w:t>
            </w:r>
          </w:p>
          <w:p w14:paraId="28000000"/>
          <w:p w14:paraId="29000000"/>
          <w:p w14:paraId="2A000000">
            <w:r>
              <w:t>20</w:t>
            </w:r>
          </w:p>
          <w:p w14:paraId="2B000000"/>
          <w:p w14:paraId="2C000000"/>
          <w:p w14:paraId="2D000000"/>
          <w:p w14:paraId="2E000000">
            <w:r>
              <w:t>30</w:t>
            </w:r>
          </w:p>
        </w:tc>
      </w:tr>
      <w:tr>
        <w:trPr>
          <w:trHeight w:hRule="atLeast" w:val="360"/>
        </w:trPr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r>
              <w:t>3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r>
              <w:t>Услуги по составлению проектов договоров приватизации. займа, безвозмездного пользования, купли-продажи, дарения, мены, найма, аренды (субаренды) объектов движимого и недвижимого имущества, земельных участков</w:t>
            </w:r>
          </w:p>
        </w:tc>
        <w:tc>
          <w:tcPr>
            <w:tcW w:type="dxa" w:w="4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t>составление проекта договора для 3-х и более участников сделки и/или более 2-х объектов недвижимого имущества (1 проект)</w:t>
            </w:r>
          </w:p>
          <w:p w14:paraId="32000000"/>
          <w:p w14:paraId="33000000">
            <w:r>
              <w:t>составление проекта договора с ипотекой и/или материнским капиталом (1 проект)</w:t>
            </w:r>
          </w:p>
          <w:p w14:paraId="34000000"/>
          <w:p w14:paraId="35000000">
            <w:r>
              <w:t>составление проекта договора купли-продажи, дарения транспортного средства (1 проект)</w:t>
            </w:r>
          </w:p>
          <w:p w14:paraId="36000000"/>
          <w:p w14:paraId="37000000">
            <w:r>
              <w:t>доплата за срочность составления</w:t>
            </w:r>
          </w:p>
          <w:p w14:paraId="38000000">
            <w:r>
              <w:t>(1 проект договора в течение 2 часов)</w:t>
            </w:r>
          </w:p>
          <w:p w14:paraId="39000000"/>
          <w:p w14:paraId="3A000000">
            <w:r>
              <w:t>составление расписки в получении денежных средств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r>
              <w:t>1800</w:t>
            </w:r>
          </w:p>
          <w:p w14:paraId="3C000000"/>
          <w:p w14:paraId="3D000000"/>
          <w:p w14:paraId="3E000000"/>
          <w:p w14:paraId="3F000000"/>
          <w:p w14:paraId="40000000">
            <w:r>
              <w:t>2000</w:t>
            </w:r>
          </w:p>
          <w:p w14:paraId="41000000"/>
          <w:p w14:paraId="42000000"/>
          <w:p w14:paraId="43000000"/>
          <w:p w14:paraId="44000000">
            <w:r>
              <w:t>500</w:t>
            </w:r>
          </w:p>
          <w:p w14:paraId="45000000"/>
          <w:p w14:paraId="46000000"/>
          <w:p w14:paraId="47000000"/>
          <w:p w14:paraId="48000000">
            <w:r>
              <w:t>300</w:t>
            </w:r>
          </w:p>
          <w:p w14:paraId="49000000"/>
          <w:p w14:paraId="4A000000"/>
          <w:p w14:paraId="4B000000"/>
          <w:p w14:paraId="4C000000">
            <w:r>
              <w:t>200</w:t>
            </w:r>
          </w:p>
        </w:tc>
      </w:tr>
      <w:tr>
        <w:trPr>
          <w:trHeight w:hRule="atLeast" w:val="360"/>
        </w:trPr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r>
              <w:t>4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r>
              <w:t>Услуги факсимильной связи, в том числе отправка и прием факсимильных сообщений</w:t>
            </w:r>
          </w:p>
        </w:tc>
        <w:tc>
          <w:tcPr>
            <w:tcW w:type="dxa" w:w="4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r>
              <w:t>услуга за 1 лист по России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r>
              <w:t>100</w:t>
            </w:r>
          </w:p>
        </w:tc>
      </w:tr>
      <w:tr>
        <w:trPr>
          <w:trHeight w:hRule="atLeast" w:val="360"/>
        </w:trPr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r>
              <w:t>5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r>
              <w:t>Сдача в аренду помещений, находящихся в оперативном управлении; сдача в субаренду помещений, находящихся в аренде.</w:t>
            </w:r>
          </w:p>
        </w:tc>
        <w:tc>
          <w:tcPr>
            <w:tcW w:type="dxa" w:w="4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/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r>
              <w:t>договорная</w:t>
            </w:r>
          </w:p>
        </w:tc>
      </w:tr>
      <w:tr>
        <w:trPr>
          <w:trHeight w:hRule="atLeast" w:val="360"/>
        </w:trPr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r>
              <w:t>6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r>
              <w:t>Услуги по предоставлению доступа к правовым информационным ресурсам сети Internet (30 мин)</w:t>
            </w:r>
          </w:p>
        </w:tc>
        <w:tc>
          <w:tcPr>
            <w:tcW w:type="dxa" w:w="4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/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r>
              <w:t>130</w:t>
            </w:r>
          </w:p>
        </w:tc>
      </w:tr>
      <w:tr>
        <w:trPr>
          <w:trHeight w:hRule="atLeast" w:val="360"/>
        </w:trPr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r>
              <w:t>7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r>
              <w:t>Ламинирование документов различных форматов</w:t>
            </w:r>
          </w:p>
        </w:tc>
        <w:tc>
          <w:tcPr>
            <w:tcW w:type="dxa" w:w="4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r>
              <w:t>формат А4</w:t>
            </w:r>
          </w:p>
          <w:p w14:paraId="5C000000">
            <w:r>
              <w:t>формат А5</w:t>
            </w:r>
          </w:p>
          <w:p w14:paraId="5D000000">
            <w:r>
              <w:t>формат А6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r>
              <w:t>60</w:t>
            </w:r>
          </w:p>
          <w:p w14:paraId="5F000000">
            <w:r>
              <w:t>50</w:t>
            </w:r>
          </w:p>
          <w:p w14:paraId="60000000">
            <w:r>
              <w:t>40</w:t>
            </w:r>
          </w:p>
        </w:tc>
      </w:tr>
      <w:tr>
        <w:trPr>
          <w:trHeight w:hRule="atLeast" w:val="360"/>
        </w:trPr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r>
              <w:t>8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r>
              <w:t>Набор текста на компьютере</w:t>
            </w:r>
          </w:p>
        </w:tc>
        <w:tc>
          <w:tcPr>
            <w:tcW w:type="dxa" w:w="4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r>
              <w:t>набор текста с сохранением на электронный носитель (1 страница)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r>
              <w:t>100</w:t>
            </w:r>
          </w:p>
        </w:tc>
      </w:tr>
      <w:tr>
        <w:trPr>
          <w:trHeight w:hRule="atLeast" w:val="360"/>
        </w:trPr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r>
              <w:t>9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r>
              <w:t>Редактирование текстового файла и др.</w:t>
            </w:r>
          </w:p>
        </w:tc>
        <w:tc>
          <w:tcPr>
            <w:tcW w:type="dxa" w:w="4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r>
              <w:t>1 страница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r>
              <w:t>50</w:t>
            </w:r>
          </w:p>
        </w:tc>
      </w:tr>
      <w:tr>
        <w:trPr>
          <w:trHeight w:hRule="atLeast" w:val="360"/>
        </w:trPr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r>
              <w:t>10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r>
              <w:t>Фотографирование на документы</w:t>
            </w:r>
          </w:p>
        </w:tc>
        <w:tc>
          <w:tcPr>
            <w:tcW w:type="dxa" w:w="4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r>
              <w:t>фотографирование:</w:t>
            </w:r>
          </w:p>
          <w:p w14:paraId="6C000000">
            <w:pPr>
              <w:numPr>
                <w:numId w:val="1"/>
              </w:numPr>
            </w:pPr>
            <w:r>
              <w:t>30*40 мм  на удостоверения и справки членов многодетной семьи, удостоверения Ветерана Омской области 3 экз. на 1 стр.</w:t>
            </w:r>
          </w:p>
          <w:p w14:paraId="6D000000">
            <w:pPr>
              <w:numPr>
                <w:numId w:val="1"/>
              </w:numPr>
            </w:pPr>
            <w:r>
              <w:t>10x15 (формат А6)**</w:t>
            </w:r>
          </w:p>
          <w:p w14:paraId="6E000000">
            <w:pPr>
              <w:numPr>
                <w:numId w:val="1"/>
              </w:numPr>
            </w:pPr>
            <w:r>
              <w:t>15x20 (формат А5)**</w:t>
            </w:r>
          </w:p>
          <w:p w14:paraId="6F000000">
            <w:pPr>
              <w:numPr>
                <w:numId w:val="1"/>
              </w:numPr>
            </w:pPr>
            <w:r>
              <w:t>20x30 (формат А4)**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r>
              <w:t>150</w:t>
            </w:r>
          </w:p>
          <w:p w14:paraId="71000000"/>
          <w:p w14:paraId="72000000"/>
          <w:p w14:paraId="73000000"/>
          <w:p w14:paraId="74000000"/>
          <w:p w14:paraId="75000000"/>
          <w:p w14:paraId="76000000">
            <w:r>
              <w:t>15</w:t>
            </w:r>
          </w:p>
          <w:p w14:paraId="77000000">
            <w:r>
              <w:t>45</w:t>
            </w:r>
          </w:p>
          <w:p w14:paraId="78000000">
            <w:r>
              <w:t>80</w:t>
            </w:r>
          </w:p>
          <w:p w14:paraId="79000000"/>
          <w:p w14:paraId="7A000000"/>
        </w:tc>
      </w:tr>
      <w:tr>
        <w:trPr>
          <w:trHeight w:hRule="atLeast" w:val="360"/>
        </w:trPr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r>
              <w:t>11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r>
              <w:t>Брошюрование*</w:t>
            </w:r>
          </w:p>
        </w:tc>
        <w:tc>
          <w:tcPr>
            <w:tcW w:type="dxa" w:w="4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/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r>
              <w:t>100</w:t>
            </w:r>
          </w:p>
        </w:tc>
      </w:tr>
      <w:tr>
        <w:trPr>
          <w:trHeight w:hRule="atLeast" w:val="360"/>
        </w:trPr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r>
              <w:t>12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r>
              <w:t>Регистрация электронного почтового ящика</w:t>
            </w:r>
          </w:p>
        </w:tc>
        <w:tc>
          <w:tcPr>
            <w:tcW w:type="dxa" w:w="4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r>
              <w:t>1 услуга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r>
              <w:t>50</w:t>
            </w:r>
          </w:p>
        </w:tc>
      </w:tr>
      <w:tr>
        <w:trPr>
          <w:trHeight w:hRule="atLeast" w:val="360"/>
        </w:trPr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r>
              <w:t>13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r>
              <w:t>Составление проекта бизнес-плана</w:t>
            </w:r>
          </w:p>
        </w:tc>
        <w:tc>
          <w:tcPr>
            <w:tcW w:type="dxa" w:w="4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r>
              <w:t>1 проект</w:t>
            </w:r>
          </w:p>
        </w:tc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r>
              <w:t>4000</w:t>
            </w:r>
          </w:p>
        </w:tc>
      </w:tr>
    </w:tbl>
    <w:p w14:paraId="87000000">
      <w:pPr>
        <w:ind/>
        <w:jc w:val="center"/>
        <w:rPr>
          <w:b w:val="1"/>
          <w:sz w:val="28"/>
        </w:rPr>
      </w:pPr>
    </w:p>
    <w:p w14:paraId="88000000">
      <w:pPr>
        <w:ind/>
        <w:jc w:val="center"/>
        <w:rPr>
          <w:b w:val="1"/>
          <w:sz w:val="28"/>
        </w:rPr>
      </w:pPr>
    </w:p>
    <w:p w14:paraId="89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*УСЛУГА ОКАЗЫВАЕТСЯ В МФЦ МОСКАЛЕНСКОГО РАЙОНА</w:t>
      </w:r>
    </w:p>
    <w:p w14:paraId="8A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**УСЛУГА ОКАЗЫВАЕТСЯ В МФЦ МАРЬЯНОВСКОГО РАЙОНА</w:t>
      </w:r>
    </w:p>
    <w:p w14:paraId="8B000000">
      <w:pPr>
        <w:ind/>
        <w:jc w:val="both"/>
        <w:rPr>
          <w:b w:val="1"/>
          <w:sz w:val="28"/>
        </w:rPr>
      </w:pPr>
    </w:p>
    <w:p w14:paraId="8C000000">
      <w:pPr>
        <w:ind/>
        <w:jc w:val="center"/>
        <w:rPr>
          <w:b w:val="1"/>
          <w:sz w:val="28"/>
        </w:rPr>
      </w:pPr>
    </w:p>
    <w:p w14:paraId="8D000000">
      <w:pPr>
        <w:ind/>
        <w:jc w:val="center"/>
        <w:rPr>
          <w:b w:val="1"/>
          <w:sz w:val="28"/>
        </w:rPr>
      </w:pPr>
    </w:p>
    <w:p w14:paraId="8E000000">
      <w:pPr>
        <w:ind/>
        <w:jc w:val="center"/>
        <w:rPr>
          <w:b w:val="1"/>
          <w:sz w:val="28"/>
        </w:rPr>
      </w:pPr>
    </w:p>
    <w:p w14:paraId="8F000000">
      <w:pPr>
        <w:ind/>
        <w:jc w:val="center"/>
        <w:rPr>
          <w:b w:val="1"/>
          <w:sz w:val="28"/>
        </w:rPr>
      </w:pPr>
    </w:p>
    <w:p w14:paraId="90000000">
      <w:pPr>
        <w:ind/>
        <w:jc w:val="center"/>
        <w:rPr>
          <w:b w:val="1"/>
          <w:sz w:val="28"/>
        </w:rPr>
      </w:pPr>
    </w:p>
    <w:p w14:paraId="91000000">
      <w:pPr>
        <w:ind/>
        <w:jc w:val="center"/>
        <w:rPr>
          <w:b w:val="1"/>
          <w:sz w:val="28"/>
        </w:rPr>
      </w:pPr>
    </w:p>
    <w:p w14:paraId="92000000">
      <w:pPr>
        <w:ind/>
        <w:jc w:val="center"/>
        <w:rPr>
          <w:b w:val="1"/>
          <w:sz w:val="28"/>
        </w:rPr>
      </w:pPr>
    </w:p>
    <w:p w14:paraId="93000000">
      <w:pPr>
        <w:ind/>
        <w:jc w:val="center"/>
        <w:rPr>
          <w:b w:val="1"/>
          <w:sz w:val="28"/>
        </w:rPr>
      </w:pPr>
    </w:p>
    <w:p w14:paraId="94000000">
      <w:pPr>
        <w:ind/>
        <w:jc w:val="center"/>
        <w:rPr>
          <w:b w:val="1"/>
          <w:sz w:val="28"/>
        </w:rPr>
      </w:pPr>
    </w:p>
    <w:p w14:paraId="95000000">
      <w:pPr>
        <w:ind/>
        <w:jc w:val="center"/>
        <w:rPr>
          <w:b w:val="1"/>
          <w:sz w:val="28"/>
        </w:rPr>
      </w:pPr>
    </w:p>
    <w:p w14:paraId="96000000">
      <w:pPr>
        <w:ind/>
        <w:jc w:val="center"/>
        <w:rPr>
          <w:b w:val="1"/>
          <w:sz w:val="28"/>
        </w:rPr>
      </w:pPr>
    </w:p>
    <w:p w14:paraId="97000000">
      <w:pPr>
        <w:ind/>
        <w:jc w:val="center"/>
        <w:rPr>
          <w:b w:val="1"/>
          <w:sz w:val="28"/>
        </w:rPr>
      </w:pPr>
    </w:p>
    <w:p w14:paraId="98000000">
      <w:pPr>
        <w:ind/>
        <w:jc w:val="center"/>
        <w:rPr>
          <w:b w:val="1"/>
          <w:sz w:val="28"/>
        </w:rPr>
      </w:pPr>
    </w:p>
    <w:p w14:paraId="99000000">
      <w:pPr>
        <w:ind/>
        <w:jc w:val="center"/>
        <w:rPr>
          <w:b w:val="1"/>
          <w:sz w:val="28"/>
        </w:rPr>
      </w:pPr>
    </w:p>
    <w:p w14:paraId="9A000000">
      <w:pPr>
        <w:ind/>
        <w:jc w:val="center"/>
        <w:rPr>
          <w:b w:val="1"/>
          <w:sz w:val="28"/>
        </w:rPr>
      </w:pPr>
    </w:p>
    <w:p w14:paraId="9B000000">
      <w:pPr>
        <w:ind/>
        <w:jc w:val="center"/>
        <w:rPr>
          <w:b w:val="1"/>
          <w:sz w:val="28"/>
        </w:rPr>
      </w:pPr>
    </w:p>
    <w:p w14:paraId="9C000000">
      <w:pPr>
        <w:ind/>
        <w:jc w:val="center"/>
        <w:rPr>
          <w:b w:val="1"/>
          <w:sz w:val="28"/>
        </w:rPr>
      </w:pPr>
    </w:p>
    <w:p w14:paraId="9D000000">
      <w:pPr>
        <w:ind/>
        <w:jc w:val="center"/>
        <w:rPr>
          <w:b w:val="1"/>
          <w:sz w:val="28"/>
        </w:rPr>
      </w:pPr>
    </w:p>
    <w:p w14:paraId="9E000000">
      <w:pPr>
        <w:ind/>
        <w:jc w:val="center"/>
        <w:rPr>
          <w:b w:val="1"/>
          <w:sz w:val="28"/>
        </w:rPr>
      </w:pPr>
    </w:p>
    <w:p w14:paraId="9F000000">
      <w:pPr>
        <w:ind/>
        <w:jc w:val="center"/>
        <w:rPr>
          <w:b w:val="1"/>
          <w:sz w:val="28"/>
        </w:rPr>
      </w:pPr>
    </w:p>
    <w:p w14:paraId="A0000000">
      <w:pPr>
        <w:ind/>
        <w:jc w:val="center"/>
        <w:rPr>
          <w:b w:val="1"/>
          <w:sz w:val="28"/>
        </w:rPr>
      </w:pPr>
    </w:p>
    <w:p w14:paraId="A1000000">
      <w:pPr>
        <w:ind/>
        <w:jc w:val="center"/>
        <w:rPr>
          <w:b w:val="1"/>
          <w:sz w:val="28"/>
        </w:rPr>
      </w:pPr>
    </w:p>
    <w:p w14:paraId="A2000000">
      <w:pPr>
        <w:ind/>
        <w:jc w:val="center"/>
        <w:rPr>
          <w:b w:val="1"/>
          <w:sz w:val="28"/>
        </w:rPr>
      </w:pPr>
    </w:p>
    <w:p w14:paraId="A3000000">
      <w:pPr>
        <w:ind/>
        <w:jc w:val="center"/>
        <w:rPr>
          <w:b w:val="1"/>
          <w:sz w:val="28"/>
        </w:rPr>
      </w:pPr>
    </w:p>
    <w:p w14:paraId="A4000000">
      <w:pPr>
        <w:ind/>
        <w:jc w:val="center"/>
        <w:rPr>
          <w:b w:val="1"/>
          <w:sz w:val="28"/>
        </w:rPr>
      </w:pPr>
    </w:p>
    <w:p w14:paraId="A5000000">
      <w:pPr>
        <w:ind/>
        <w:jc w:val="center"/>
        <w:rPr>
          <w:b w:val="1"/>
          <w:sz w:val="28"/>
        </w:rPr>
      </w:pPr>
    </w:p>
    <w:p w14:paraId="A6000000">
      <w:pPr>
        <w:ind/>
        <w:jc w:val="center"/>
        <w:rPr>
          <w:b w:val="1"/>
          <w:sz w:val="28"/>
        </w:rPr>
      </w:pPr>
    </w:p>
    <w:p w14:paraId="A7000000">
      <w:pPr>
        <w:ind/>
        <w:jc w:val="center"/>
        <w:rPr>
          <w:b w:val="1"/>
          <w:sz w:val="28"/>
        </w:rPr>
      </w:pPr>
    </w:p>
    <w:p w14:paraId="A8000000">
      <w:pPr>
        <w:ind/>
        <w:jc w:val="center"/>
        <w:rPr>
          <w:b w:val="1"/>
          <w:sz w:val="28"/>
        </w:rPr>
      </w:pPr>
    </w:p>
    <w:p w14:paraId="A9000000">
      <w:pPr>
        <w:ind/>
        <w:jc w:val="center"/>
        <w:rPr>
          <w:b w:val="1"/>
          <w:sz w:val="28"/>
        </w:rPr>
      </w:pPr>
    </w:p>
    <w:sectPr>
      <w:pgSz w:h="16838" w:orient="portrait" w:w="11906"/>
      <w:pgMar w:bottom="1134" w:footer="709" w:gutter="0" w:header="709" w:left="1134" w:right="851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Plain Text"/>
    <w:basedOn w:val="Style_2"/>
    <w:link w:val="Style_5_ch"/>
    <w:rPr>
      <w:rFonts w:ascii="Courier New" w:hAnsi="Courier New"/>
      <w:sz w:val="20"/>
    </w:rPr>
  </w:style>
  <w:style w:styleId="Style_5_ch" w:type="character">
    <w:name w:val="Plain Text"/>
    <w:basedOn w:val="Style_2_ch"/>
    <w:link w:val="Style_5"/>
    <w:rPr>
      <w:rFonts w:ascii="Courier New" w:hAnsi="Courier New"/>
      <w:sz w:val="20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ConsPlusNormal"/>
    <w:link w:val="Style_7_ch"/>
    <w:pPr>
      <w:widowControl w:val="0"/>
      <w:ind w:firstLine="720" w:left="0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Style6"/>
    <w:basedOn w:val="Style_2"/>
    <w:link w:val="Style_11_ch"/>
    <w:pPr>
      <w:widowControl w:val="0"/>
      <w:spacing w:line="317" w:lineRule="exact"/>
      <w:ind/>
      <w:jc w:val="center"/>
    </w:pPr>
  </w:style>
  <w:style w:styleId="Style_11_ch" w:type="character">
    <w:name w:val="Style6"/>
    <w:basedOn w:val="Style_2_ch"/>
    <w:link w:val="Style_11"/>
  </w:style>
  <w:style w:styleId="Style_12" w:type="paragraph">
    <w:name w:val="ConsNonformat"/>
    <w:link w:val="Style_12_ch"/>
    <w:pPr>
      <w:widowControl w:val="0"/>
      <w:ind w:right="19772"/>
    </w:pPr>
    <w:rPr>
      <w:rFonts w:ascii="Courier New" w:hAnsi="Courier New"/>
    </w:rPr>
  </w:style>
  <w:style w:styleId="Style_12_ch" w:type="character">
    <w:name w:val="ConsNonformat"/>
    <w:link w:val="Style_12"/>
    <w:rPr>
      <w:rFonts w:ascii="Courier New" w:hAnsi="Courier New"/>
    </w:rPr>
  </w:style>
  <w:style w:styleId="Style_13" w:type="paragraph">
    <w:name w:val="Style9"/>
    <w:basedOn w:val="Style_2"/>
    <w:link w:val="Style_13_ch"/>
    <w:pPr>
      <w:widowControl w:val="0"/>
      <w:spacing w:line="326" w:lineRule="exact"/>
      <w:ind w:firstLine="701" w:left="0"/>
      <w:jc w:val="both"/>
    </w:pPr>
  </w:style>
  <w:style w:styleId="Style_13_ch" w:type="character">
    <w:name w:val="Style9"/>
    <w:basedOn w:val="Style_2_ch"/>
    <w:link w:val="Style_13"/>
  </w:style>
  <w:style w:styleId="Style_14" w:type="paragraph">
    <w:name w:val="List Paragraph"/>
    <w:basedOn w:val="Style_2"/>
    <w:link w:val="Style_14_ch"/>
    <w:pPr>
      <w:ind w:firstLine="0" w:left="720"/>
      <w:contextualSpacing w:val="1"/>
    </w:pPr>
  </w:style>
  <w:style w:styleId="Style_14_ch" w:type="character">
    <w:name w:val="List Paragraph"/>
    <w:basedOn w:val="Style_2_ch"/>
    <w:link w:val="Style_14"/>
  </w:style>
  <w:style w:styleId="Style_15" w:type="paragraph">
    <w:name w:val="Font Style12"/>
    <w:link w:val="Style_15_ch"/>
    <w:rPr>
      <w:rFonts w:ascii="Times New Roman" w:hAnsi="Times New Roman"/>
      <w:sz w:val="26"/>
    </w:rPr>
  </w:style>
  <w:style w:styleId="Style_15_ch" w:type="character">
    <w:name w:val="Font Style12"/>
    <w:link w:val="Style_15"/>
    <w:rPr>
      <w:rFonts w:ascii="Times New Roman" w:hAnsi="Times New Roman"/>
      <w:sz w:val="26"/>
    </w:rPr>
  </w:style>
  <w:style w:styleId="Style_16" w:type="paragraph">
    <w:name w:val="toc 3"/>
    <w:next w:val="Style_2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2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2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2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2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Balloon Text"/>
    <w:basedOn w:val="Style_2"/>
    <w:link w:val="Style_25_ch"/>
    <w:rPr>
      <w:rFonts w:ascii="Tahoma" w:hAnsi="Tahoma"/>
      <w:sz w:val="16"/>
    </w:rPr>
  </w:style>
  <w:style w:styleId="Style_25_ch" w:type="character">
    <w:name w:val="Balloon Text"/>
    <w:basedOn w:val="Style_2_ch"/>
    <w:link w:val="Style_25"/>
    <w:rPr>
      <w:rFonts w:ascii="Tahoma" w:hAnsi="Tahoma"/>
      <w:sz w:val="16"/>
    </w:rPr>
  </w:style>
  <w:style w:styleId="Style_26" w:type="paragraph">
    <w:name w:val="Body Text"/>
    <w:basedOn w:val="Style_2"/>
    <w:link w:val="Style_26_ch"/>
    <w:rPr>
      <w:sz w:val="28"/>
    </w:rPr>
  </w:style>
  <w:style w:styleId="Style_26_ch" w:type="character">
    <w:name w:val="Body Text"/>
    <w:basedOn w:val="Style_2_ch"/>
    <w:link w:val="Style_26"/>
    <w:rPr>
      <w:sz w:val="28"/>
    </w:rPr>
  </w:style>
  <w:style w:styleId="Style_27" w:type="paragraph">
    <w:name w:val="toc 5"/>
    <w:next w:val="Style_2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 Знак Знак Знак1 Знак Знак Знак Знак"/>
    <w:basedOn w:val="Style_2"/>
    <w:link w:val="Style_28_ch"/>
    <w:pPr>
      <w:spacing w:afterAutospacing="on" w:beforeAutospacing="on"/>
      <w:ind/>
    </w:pPr>
    <w:rPr>
      <w:rFonts w:ascii="Tahoma" w:hAnsi="Tahoma"/>
      <w:sz w:val="20"/>
    </w:rPr>
  </w:style>
  <w:style w:styleId="Style_28_ch" w:type="character">
    <w:name w:val=" Знак Знак Знак1 Знак Знак Знак Знак"/>
    <w:basedOn w:val="Style_2_ch"/>
    <w:link w:val="Style_28"/>
    <w:rPr>
      <w:rFonts w:ascii="Tahoma" w:hAnsi="Tahoma"/>
      <w:sz w:val="20"/>
    </w:rPr>
  </w:style>
  <w:style w:styleId="Style_29" w:type="paragraph">
    <w:name w:val="Subtitle"/>
    <w:next w:val="Style_2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Char Знак"/>
    <w:basedOn w:val="Style_2"/>
    <w:link w:val="Style_30_ch"/>
    <w:pPr>
      <w:spacing w:afterAutospacing="on" w:beforeAutospacing="on"/>
      <w:ind/>
    </w:pPr>
    <w:rPr>
      <w:rFonts w:ascii="Tahoma" w:hAnsi="Tahoma"/>
      <w:sz w:val="20"/>
    </w:rPr>
  </w:style>
  <w:style w:styleId="Style_30_ch" w:type="character">
    <w:name w:val="Char Знак"/>
    <w:basedOn w:val="Style_2_ch"/>
    <w:link w:val="Style_30"/>
    <w:rPr>
      <w:rFonts w:ascii="Tahoma" w:hAnsi="Tahoma"/>
      <w:sz w:val="20"/>
    </w:rPr>
  </w:style>
  <w:style w:styleId="Style_31" w:type="paragraph">
    <w:name w:val="Title"/>
    <w:basedOn w:val="Style_2"/>
    <w:link w:val="Style_31_ch"/>
    <w:uiPriority w:val="10"/>
    <w:qFormat/>
    <w:pPr>
      <w:ind/>
      <w:jc w:val="center"/>
    </w:pPr>
    <w:rPr>
      <w:sz w:val="28"/>
    </w:rPr>
  </w:style>
  <w:style w:styleId="Style_31_ch" w:type="character">
    <w:name w:val="Title"/>
    <w:basedOn w:val="Style_2_ch"/>
    <w:link w:val="Style_31"/>
    <w:rPr>
      <w:sz w:val="28"/>
    </w:rPr>
  </w:style>
  <w:style w:styleId="Style_32" w:type="paragraph">
    <w:name w:val="heading 4"/>
    <w:next w:val="Style_2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2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Style8"/>
    <w:basedOn w:val="Style_2"/>
    <w:link w:val="Style_34_ch"/>
    <w:pPr>
      <w:widowControl w:val="0"/>
      <w:spacing w:line="324" w:lineRule="exact"/>
      <w:ind w:firstLine="710" w:left="0"/>
    </w:pPr>
  </w:style>
  <w:style w:styleId="Style_34_ch" w:type="character">
    <w:name w:val="Style8"/>
    <w:basedOn w:val="Style_2_ch"/>
    <w:link w:val="Style_34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2023-07-21T08:47:43Z</dcterms:modified>
</cp:coreProperties>
</file>